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7A76C">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outlineLvl w:val="0"/>
        <w:rPr>
          <w:rFonts w:ascii="微软雅黑" w:hAnsi="微软雅黑" w:eastAsia="微软雅黑" w:cs="微软雅黑"/>
          <w:sz w:val="96"/>
          <w:szCs w:val="96"/>
        </w:rPr>
      </w:pPr>
      <w:r>
        <w:rPr>
          <w:rFonts w:hint="eastAsia" w:ascii="微软雅黑" w:hAnsi="微软雅黑" w:eastAsia="微软雅黑" w:cs="微软雅黑"/>
          <w:color w:val="FF0000"/>
          <w:spacing w:val="-32"/>
          <w:w w:val="56"/>
          <w:sz w:val="96"/>
          <w:szCs w:val="96"/>
          <w:lang w:val="en-US" w:eastAsia="zh-CN"/>
        </w:rPr>
        <w:t>共</w:t>
      </w:r>
      <w:bookmarkStart w:id="0" w:name="_GoBack"/>
      <w:bookmarkEnd w:id="0"/>
      <w:r>
        <w:rPr>
          <w:rFonts w:ascii="微软雅黑" w:hAnsi="微软雅黑" w:eastAsia="微软雅黑" w:cs="微软雅黑"/>
          <w:color w:val="FF0000"/>
          <w:spacing w:val="-32"/>
          <w:w w:val="56"/>
          <w:sz w:val="96"/>
          <w:szCs w:val="96"/>
        </w:rPr>
        <w:t>青团南京财经</w:t>
      </w:r>
      <w:r>
        <w:rPr>
          <w:rFonts w:hint="eastAsia" w:ascii="微软雅黑" w:hAnsi="微软雅黑" w:eastAsia="微软雅黑" w:cs="微软雅黑"/>
          <w:color w:val="FF0000"/>
          <w:spacing w:val="-32"/>
          <w:w w:val="56"/>
          <w:sz w:val="96"/>
          <w:szCs w:val="96"/>
          <w:lang w:val="en-US" w:eastAsia="zh-CN"/>
        </w:rPr>
        <w:t>大学红山学院</w:t>
      </w:r>
      <w:r>
        <w:rPr>
          <w:rFonts w:ascii="微软雅黑" w:hAnsi="微软雅黑" w:eastAsia="微软雅黑" w:cs="微软雅黑"/>
          <w:color w:val="FF0000"/>
          <w:spacing w:val="-32"/>
          <w:w w:val="56"/>
          <w:sz w:val="96"/>
          <w:szCs w:val="96"/>
        </w:rPr>
        <w:t>委员会</w:t>
      </w:r>
    </w:p>
    <w:p w14:paraId="56C5B54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ascii="宋体" w:hAnsi="宋体" w:eastAsia="宋体" w:cs="宋体"/>
          <w:spacing w:val="-3"/>
          <w:sz w:val="28"/>
          <w:szCs w:val="28"/>
        </w:rPr>
      </w:pPr>
      <w:r>
        <w:rPr>
          <w:rFonts w:ascii="宋体" w:hAnsi="宋体" w:eastAsia="宋体" w:cs="宋体"/>
          <w:spacing w:val="-3"/>
          <w:sz w:val="28"/>
          <w:szCs w:val="28"/>
        </w:rPr>
        <w:t>南财团字〔202</w:t>
      </w:r>
      <w:r>
        <w:rPr>
          <w:rFonts w:hint="eastAsia" w:ascii="宋体" w:hAnsi="宋体" w:eastAsia="宋体" w:cs="宋体"/>
          <w:spacing w:val="-3"/>
          <w:sz w:val="28"/>
          <w:szCs w:val="28"/>
          <w:lang w:val="en-US" w:eastAsia="zh-CN"/>
        </w:rPr>
        <w:t>5</w:t>
      </w:r>
      <w:r>
        <w:rPr>
          <w:rFonts w:ascii="宋体" w:hAnsi="宋体" w:eastAsia="宋体" w:cs="宋体"/>
          <w:spacing w:val="-3"/>
          <w:sz w:val="28"/>
          <w:szCs w:val="28"/>
        </w:rPr>
        <w:t>〕</w:t>
      </w:r>
      <w:r>
        <w:rPr>
          <w:rFonts w:hint="eastAsia" w:ascii="宋体" w:hAnsi="宋体" w:eastAsia="宋体" w:cs="宋体"/>
          <w:spacing w:val="-3"/>
          <w:sz w:val="28"/>
          <w:szCs w:val="28"/>
          <w:lang w:val="en-US" w:eastAsia="zh-CN"/>
        </w:rPr>
        <w:t>1</w:t>
      </w:r>
      <w:r>
        <w:rPr>
          <w:rFonts w:ascii="宋体" w:hAnsi="宋体" w:eastAsia="宋体" w:cs="宋体"/>
          <w:spacing w:val="-3"/>
          <w:sz w:val="28"/>
          <w:szCs w:val="28"/>
        </w:rPr>
        <w:t>号</w:t>
      </w:r>
    </w:p>
    <w:p w14:paraId="60A3EB27">
      <w:pPr>
        <w:keepNext w:val="0"/>
        <w:keepLines w:val="0"/>
        <w:pageBreakBefore w:val="0"/>
        <w:widowControl/>
        <w:kinsoku w:val="0"/>
        <w:wordWrap/>
        <w:overflowPunct/>
        <w:topLinePunct w:val="0"/>
        <w:autoSpaceDE w:val="0"/>
        <w:autoSpaceDN w:val="0"/>
        <w:bidi w:val="0"/>
        <w:adjustRightInd w:val="0"/>
        <w:snapToGrid w:val="0"/>
        <w:spacing w:line="221" w:lineRule="auto"/>
        <w:ind w:left="1680" w:leftChars="800" w:right="0" w:rightChars="0" w:firstLine="0" w:firstLineChars="0"/>
        <w:jc w:val="right"/>
        <w:textAlignment w:val="baseline"/>
      </w:pPr>
      <w:r>
        <w:rPr>
          <w:sz w:val="43"/>
        </w:rPr>
        <mc:AlternateContent>
          <mc:Choice Requires="wps">
            <w:drawing>
              <wp:anchor distT="0" distB="0" distL="114300" distR="114300" simplePos="0" relativeHeight="251659264" behindDoc="0" locked="0" layoutInCell="1" allowOverlap="1">
                <wp:simplePos x="0" y="0"/>
                <wp:positionH relativeFrom="column">
                  <wp:posOffset>44450</wp:posOffset>
                </wp:positionH>
                <wp:positionV relativeFrom="paragraph">
                  <wp:posOffset>108585</wp:posOffset>
                </wp:positionV>
                <wp:extent cx="2397125" cy="635"/>
                <wp:effectExtent l="0" t="13970" r="3175" b="23495"/>
                <wp:wrapNone/>
                <wp:docPr id="1" name="直接连接符 1"/>
                <wp:cNvGraphicFramePr/>
                <a:graphic xmlns:a="http://schemas.openxmlformats.org/drawingml/2006/main">
                  <a:graphicData uri="http://schemas.microsoft.com/office/word/2010/wordprocessingShape">
                    <wps:wsp>
                      <wps:cNvCnPr/>
                      <wps:spPr>
                        <a:xfrm flipV="1">
                          <a:off x="4006850" y="2352040"/>
                          <a:ext cx="2397125" cy="635"/>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5pt;margin-top:8.55pt;height:0.05pt;width:188.75pt;z-index:251659264;mso-width-relative:page;mso-height-relative:page;" filled="f" stroked="t" coordsize="21600,21600" o:gfxdata="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6vlPrYAAAABwEAAA8AAAAAAAAAAQAgAAAAIgAAAGRycy9kb3ducmV2LnhtbFBLAQIUABQA&#10;AAAIAIdO4kBDt+tJ8AEAALMDAAAOAAAAAAAAAAEAIAAAACcBAABkcnMvZTJvRG9jLnhtbFBLBQYA&#10;AAAABgAGAFkBAACJBQAAAAA=&#10;">
                <v:fill on="f" focussize="0,0"/>
                <v:stroke weight="2.25pt" color="#FF0000 [3204]" joinstyle="round"/>
                <v:imagedata o:title=""/>
                <o:lock v:ext="edit" aspectratio="f"/>
              </v:line>
            </w:pict>
          </mc:Fallback>
        </mc:AlternateContent>
      </w:r>
      <w:r>
        <w:rPr>
          <w:position w:val="-8"/>
        </w:rPr>
        <w:drawing>
          <wp:inline distT="0" distB="0" distL="0" distR="0">
            <wp:extent cx="2746375" cy="272415"/>
            <wp:effectExtent l="0" t="0" r="15875" b="1333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2746375" cy="272504"/>
                    </a:xfrm>
                    <a:prstGeom prst="rect">
                      <a:avLst/>
                    </a:prstGeom>
                  </pic:spPr>
                </pic:pic>
              </a:graphicData>
            </a:graphic>
          </wp:inline>
        </w:drawing>
      </w:r>
    </w:p>
    <w:p w14:paraId="6D6B643C">
      <w:pPr>
        <w:pStyle w:val="2"/>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560" w:lineRule="exact"/>
        <w:ind w:left="0" w:right="0" w:firstLine="0"/>
        <w:jc w:val="center"/>
        <w:textAlignment w:val="baseline"/>
        <w:rPr>
          <w:sz w:val="43"/>
          <w:szCs w:val="43"/>
        </w:rPr>
      </w:pPr>
      <w:r>
        <w:rPr>
          <w:spacing w:val="7"/>
          <w:sz w:val="43"/>
          <w:szCs w:val="43"/>
        </w:rPr>
        <w:t>南京财经大学</w:t>
      </w:r>
      <w:r>
        <w:rPr>
          <w:rFonts w:hint="eastAsia"/>
          <w:spacing w:val="7"/>
          <w:sz w:val="43"/>
          <w:szCs w:val="43"/>
          <w:lang w:val="en-US" w:eastAsia="zh-CN"/>
        </w:rPr>
        <w:t>红山学院</w:t>
      </w:r>
      <w:r>
        <w:rPr>
          <w:spacing w:val="7"/>
          <w:sz w:val="43"/>
          <w:szCs w:val="43"/>
        </w:rPr>
        <w:t>“青年马克思主义者培养工</w:t>
      </w:r>
      <w:r>
        <w:rPr>
          <w:spacing w:val="4"/>
          <w:sz w:val="43"/>
          <w:szCs w:val="43"/>
        </w:rPr>
        <w:t>程”实施方案</w:t>
      </w:r>
    </w:p>
    <w:p w14:paraId="1EDDE57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pPr>
      <w:r>
        <w:rPr>
          <w:spacing w:val="21"/>
        </w:rPr>
        <w:t>为深入贯彻落实习近平总书记关于青年工作的重要思</w:t>
      </w:r>
      <w:r>
        <w:rPr>
          <w:spacing w:val="8"/>
        </w:rPr>
        <w:t>想，发挥好共青团党的助手和后备军作用，根据《</w:t>
      </w:r>
      <w:r>
        <w:rPr>
          <w:spacing w:val="6"/>
        </w:rPr>
        <w:t>青年马克思主义者培养工程</w:t>
      </w:r>
      <w:r>
        <w:rPr>
          <w:rFonts w:hint="eastAsia"/>
          <w:spacing w:val="6"/>
          <w:lang w:val="en-US" w:eastAsia="zh-CN"/>
        </w:rPr>
        <w:t>管理办法（试行）</w:t>
      </w:r>
      <w:r>
        <w:rPr>
          <w:spacing w:val="6"/>
        </w:rPr>
        <w:t>》</w:t>
      </w:r>
      <w:r>
        <w:rPr>
          <w:spacing w:val="10"/>
        </w:rPr>
        <w:t>有关要求，为进一步推进南京财经大学</w:t>
      </w:r>
      <w:r>
        <w:rPr>
          <w:rFonts w:hint="eastAsia"/>
          <w:spacing w:val="10"/>
          <w:lang w:val="en-US" w:eastAsia="zh-CN"/>
        </w:rPr>
        <w:t>红山学院</w:t>
      </w:r>
      <w:r>
        <w:rPr>
          <w:spacing w:val="10"/>
        </w:rPr>
        <w:t>青年马克思主义</w:t>
      </w:r>
      <w:r>
        <w:rPr>
          <w:spacing w:val="8"/>
        </w:rPr>
        <w:t>者培养工程（以下简称“青马工程”）的科学性、系统性实</w:t>
      </w:r>
      <w:r>
        <w:rPr>
          <w:spacing w:val="7"/>
        </w:rPr>
        <w:t>施，特制订本实施方案。</w:t>
      </w:r>
    </w:p>
    <w:p w14:paraId="566F080E">
      <w:pPr>
        <w:pStyle w:val="2"/>
        <w:spacing w:before="172" w:line="226" w:lineRule="auto"/>
        <w:ind w:left="684"/>
        <w:outlineLvl w:val="0"/>
        <w:rPr>
          <w:spacing w:val="1"/>
          <w14:textOutline w14:w="5793" w14:cap="sq" w14:cmpd="sng">
            <w14:solidFill>
              <w14:srgbClr w14:val="000000"/>
            </w14:solidFill>
            <w14:prstDash w14:val="solid"/>
            <w14:bevel/>
          </w14:textOutline>
        </w:rPr>
      </w:pPr>
      <w:r>
        <w:rPr>
          <w:spacing w:val="1"/>
          <w14:textOutline w14:w="5793" w14:cap="sq" w14:cmpd="sng">
            <w14:solidFill>
              <w14:srgbClr w14:val="000000"/>
            </w14:solidFill>
            <w14:prstDash w14:val="solid"/>
            <w14:bevel/>
          </w14:textOutline>
        </w:rPr>
        <w:t>一、指导思想</w:t>
      </w:r>
    </w:p>
    <w:p w14:paraId="3E1C4BB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坚持以习近平新时代中国特色社会主义思想为指引，落实立德树人根本任务，教育引导大学生骨干树牢“四个意识”，坚定“四个自信”，坚决做到“两个维护”,以教育广大大学生骨干学习贯彻习近平新时代中国特色社会主义思想为根本政治任务，着力为党培养和输送坚定的青年政治骨干为目标，全面提升</w:t>
      </w:r>
      <w:r>
        <w:rPr>
          <w:rFonts w:hint="eastAsia"/>
          <w:spacing w:val="21"/>
          <w:lang w:val="en-US" w:eastAsia="zh-CN"/>
        </w:rPr>
        <w:t>学校</w:t>
      </w:r>
      <w:r>
        <w:rPr>
          <w:spacing w:val="21"/>
        </w:rPr>
        <w:t>大学生骨干培养质量，为</w:t>
      </w:r>
      <w:r>
        <w:rPr>
          <w:rFonts w:hint="eastAsia"/>
          <w:spacing w:val="21"/>
          <w:lang w:val="en-US" w:eastAsia="zh-CN"/>
        </w:rPr>
        <w:t>学校</w:t>
      </w:r>
      <w:r>
        <w:rPr>
          <w:spacing w:val="21"/>
        </w:rPr>
        <w:t>思想政治工作质量提升贡献力量。</w:t>
      </w:r>
    </w:p>
    <w:p w14:paraId="770BF2E8">
      <w:pPr>
        <w:pStyle w:val="2"/>
        <w:spacing w:before="172" w:line="226" w:lineRule="auto"/>
        <w:ind w:left="684"/>
        <w:outlineLvl w:val="0"/>
        <w:rPr>
          <w:spacing w:val="1"/>
          <w14:textOutline w14:w="5793" w14:cap="sq" w14:cmpd="sng">
            <w14:solidFill>
              <w14:srgbClr w14:val="000000"/>
            </w14:solidFill>
            <w14:prstDash w14:val="solid"/>
            <w14:bevel/>
          </w14:textOutline>
        </w:rPr>
      </w:pPr>
      <w:r>
        <w:rPr>
          <w:spacing w:val="1"/>
          <w14:textOutline w14:w="5793" w14:cap="sq" w14:cmpd="sng">
            <w14:solidFill>
              <w14:srgbClr w14:val="000000"/>
            </w14:solidFill>
            <w14:prstDash w14:val="solid"/>
            <w14:bevel/>
          </w14:textOutline>
        </w:rPr>
        <w:t>二、主要目标</w:t>
      </w:r>
    </w:p>
    <w:p w14:paraId="194475D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以多样化的学习方式，引导广大青年运用马克思主义立场、观点和方法观察分析问题，使大学生骨干学习和掌握党的理论创新成果，了解国情，认识社会，不断提高他们的思想政治素质、政策理论水平、实践创新能力和组织协调能力，使他们进一步坚定跟党走中国特色社会主义道路的信念，尽快成长为中国特色社会主义事业的合格建设者和可靠接班人。</w:t>
      </w:r>
    </w:p>
    <w:p w14:paraId="0A1E75AD">
      <w:pPr>
        <w:pStyle w:val="2"/>
        <w:spacing w:before="172" w:line="226" w:lineRule="auto"/>
        <w:ind w:left="684"/>
        <w:outlineLvl w:val="0"/>
      </w:pPr>
      <w:r>
        <w:rPr>
          <w:spacing w:val="1"/>
          <w14:textOutline w14:w="5793" w14:cap="sq" w14:cmpd="sng">
            <w14:solidFill>
              <w14:srgbClr w14:val="000000"/>
            </w14:solidFill>
            <w14:prstDash w14:val="solid"/>
            <w14:bevel/>
          </w14:textOutline>
        </w:rPr>
        <w:t>三、培养对象</w:t>
      </w:r>
    </w:p>
    <w:p w14:paraId="606B0CD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“青年马克思主义者培养工程”培养对象是大学生骨干、共青团干部和青年知识分子。青马工程培养的学员应符合：</w:t>
      </w:r>
    </w:p>
    <w:p w14:paraId="7EA1ACB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1.坚持四项基本原则，政治上要求进步，是中共党员或者已递交入党申请书的共青团员；</w:t>
      </w:r>
    </w:p>
    <w:p w14:paraId="15A9830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2.热爱学习，勤奋刻苦，近一学期或学年专业排名应在前30%以内；</w:t>
      </w:r>
    </w:p>
    <w:p w14:paraId="5688BC0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3.在学校、学院中担任团学组织学生干部，积极组织或参加校内外各类社会公益活动，有较强的集体荣誉感和责任心。</w:t>
      </w:r>
    </w:p>
    <w:p w14:paraId="4273D6C6">
      <w:pPr>
        <w:pStyle w:val="2"/>
        <w:spacing w:before="260" w:line="226" w:lineRule="auto"/>
        <w:ind w:left="713"/>
        <w:outlineLvl w:val="0"/>
      </w:pPr>
      <w:r>
        <w:rPr>
          <w14:textOutline w14:w="5793" w14:cap="sq" w14:cmpd="sng">
            <w14:solidFill>
              <w14:srgbClr w14:val="000000"/>
            </w14:solidFill>
            <w14:prstDash w14:val="solid"/>
            <w14:bevel/>
          </w14:textOutline>
        </w:rPr>
        <w:t>四、培养机制</w:t>
      </w:r>
    </w:p>
    <w:p w14:paraId="2EEC23CB">
      <w:pPr>
        <w:pStyle w:val="2"/>
        <w:spacing w:before="240" w:line="372" w:lineRule="auto"/>
        <w:ind w:left="37" w:right="169" w:firstLine="641"/>
        <w:jc w:val="both"/>
      </w:pPr>
      <w:r>
        <w:rPr>
          <w:spacing w:val="8"/>
        </w:rPr>
        <w:t>坚持培养选拔使用相结合的原则。既在培养期</w:t>
      </w:r>
      <w:r>
        <w:rPr>
          <w:spacing w:val="7"/>
        </w:rPr>
        <w:t>内有计</w:t>
      </w:r>
      <w:r>
        <w:rPr>
          <w:spacing w:val="8"/>
        </w:rPr>
        <w:t>划、分阶段地引导和帮助培养对象逐步提高各方面素质；又</w:t>
      </w:r>
      <w:r>
        <w:rPr>
          <w:spacing w:val="21"/>
        </w:rPr>
        <w:t>在培养期结束后实行跟踪培养制度，通过推荐理论学习文</w:t>
      </w:r>
      <w:r>
        <w:rPr>
          <w:spacing w:val="8"/>
        </w:rPr>
        <w:t>章、不定期开展沟通交流活动、组织在网上研讨重大问题、向有关方面举荐等方式保持与他们的联系和交流，为培养对</w:t>
      </w:r>
      <w:r>
        <w:rPr>
          <w:spacing w:val="7"/>
        </w:rPr>
        <w:t>象成长发展提供支持和帮助。</w:t>
      </w:r>
    </w:p>
    <w:p w14:paraId="29D6DDE9">
      <w:pPr>
        <w:pStyle w:val="2"/>
        <w:spacing w:before="243" w:line="226" w:lineRule="auto"/>
        <w:ind w:left="690"/>
        <w:outlineLvl w:val="0"/>
      </w:pPr>
      <w:r>
        <w:rPr>
          <w:spacing w:val="6"/>
          <w14:textOutline w14:w="5793" w14:cap="sq" w14:cmpd="sng">
            <w14:solidFill>
              <w14:srgbClr w14:val="000000"/>
            </w14:solidFill>
            <w14:prstDash w14:val="solid"/>
            <w14:bevel/>
          </w14:textOutline>
        </w:rPr>
        <w:t>五、培养内容</w:t>
      </w:r>
    </w:p>
    <w:p w14:paraId="08F3FCA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1.理论学习。把马克思主义中国化的最新成果武装学生骨干作为最重要、最基础的工作，帮助他们掌握马克思主义的立场、观点、方法，深刻理解党的路线方针政策和重大战略部署，学深悟透习近平新时代中国特色社会主义思想，贯彻落实科学发展观，坚定走中国特色社会主义道路的信念。</w:t>
      </w:r>
    </w:p>
    <w:p w14:paraId="1E01F2A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2.综合素质。通过各种行之有效的方式帮助学生骨干了解社会学、经济学、管理学、人文社科的核心知识和理念，学习基本的领导艺术、沟通技巧、管理技能以及自我调适方法，加强决策、管理、沟通、协调、危机干预等方面的训练，提高他们的领导能力、组织能力和协作能力。</w:t>
      </w:r>
    </w:p>
    <w:p w14:paraId="6B173F2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3.实践锻炼。依托省内外红色资源和各类实践锻炼平台、路径，推动大学生骨干实践教育，充分发挥共青团组织在仪式教育和实践教育的优势，强化大学生骨干实践教育，凸显实践教育在大学生骨干培养中的特殊作用。</w:t>
      </w:r>
    </w:p>
    <w:p w14:paraId="0B111A0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4.志愿服务。组织青马学员参加不少于20学时/人的志愿活动。通过在校园内、城市社区、农村基层参加扶危济困、支教支医、文艺演出、政策宣传等公益活动，增强大学生骨干的社会责任感。</w:t>
      </w:r>
    </w:p>
    <w:p w14:paraId="3897AEE3">
      <w:pPr>
        <w:pStyle w:val="2"/>
        <w:spacing w:before="244" w:line="229" w:lineRule="auto"/>
        <w:ind w:left="517"/>
        <w:outlineLvl w:val="0"/>
      </w:pPr>
      <w:r>
        <w:rPr>
          <w:spacing w:val="8"/>
          <w14:textOutline w14:w="5793" w14:cap="sq" w14:cmpd="sng">
            <w14:solidFill>
              <w14:srgbClr w14:val="000000"/>
            </w14:solidFill>
            <w14:prstDash w14:val="solid"/>
            <w14:bevel/>
          </w14:textOutline>
        </w:rPr>
        <w:t>六、学员管理与发展</w:t>
      </w:r>
    </w:p>
    <w:p w14:paraId="7DF7E4B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（一）学员有以下情况之一者，取消资格，不得结业：</w:t>
      </w:r>
    </w:p>
    <w:p w14:paraId="6401F9B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1．无故旷课、迟到和早退2次或2次以上者；</w:t>
      </w:r>
    </w:p>
    <w:p w14:paraId="1C5BB25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2．请假超过3课时者；</w:t>
      </w:r>
    </w:p>
    <w:p w14:paraId="24E08E4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3．2次及2次以上迟交或不交作业、课堂笔记或论文者；</w:t>
      </w:r>
    </w:p>
    <w:p w14:paraId="5F2855B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4．结业论文审核未通过者；</w:t>
      </w:r>
    </w:p>
    <w:p w14:paraId="184D6F2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5．在接受培训期间违反校纪、团纪，受到处分者。</w:t>
      </w:r>
    </w:p>
    <w:p w14:paraId="30E8159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综合考评合格者，将颁发《南京财经大学青年共产主义学校暨青年菁英人才学校培训结业证书》。</w:t>
      </w:r>
    </w:p>
    <w:p w14:paraId="0491615C">
      <w:pPr>
        <w:pStyle w:val="2"/>
        <w:spacing w:before="242" w:line="228" w:lineRule="auto"/>
        <w:ind w:left="680"/>
        <w:jc w:val="both"/>
      </w:pPr>
      <w:r>
        <w:rPr>
          <w:spacing w:val="6"/>
        </w:rPr>
        <w:t>（二）优秀学员的认定：</w:t>
      </w:r>
    </w:p>
    <w:p w14:paraId="5CBA39F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color w:val="auto"/>
          <w:spacing w:val="21"/>
        </w:rPr>
      </w:pPr>
      <w:r>
        <w:rPr>
          <w:color w:val="auto"/>
          <w:spacing w:val="21"/>
        </w:rPr>
        <w:t>每期评出的优秀学员，约占本期学员总人数的</w:t>
      </w:r>
      <w:r>
        <w:rPr>
          <w:rFonts w:hint="eastAsia"/>
          <w:color w:val="auto"/>
          <w:spacing w:val="21"/>
          <w:lang w:val="en-US" w:eastAsia="zh-CN"/>
        </w:rPr>
        <w:t>15</w:t>
      </w:r>
      <w:r>
        <w:rPr>
          <w:color w:val="auto"/>
          <w:spacing w:val="21"/>
        </w:rPr>
        <w:t>%；评选出的优秀学员将分别颁发《南京财经大学</w:t>
      </w:r>
      <w:r>
        <w:rPr>
          <w:rFonts w:hint="eastAsia"/>
          <w:color w:val="auto"/>
          <w:spacing w:val="21"/>
          <w:lang w:val="en-US" w:eastAsia="zh-CN"/>
        </w:rPr>
        <w:t>红山学院</w:t>
      </w:r>
      <w:r>
        <w:rPr>
          <w:color w:val="auto"/>
          <w:spacing w:val="21"/>
        </w:rPr>
        <w:t>青年共产主义学校暨青年菁英人才学校优秀学员证书》。</w:t>
      </w:r>
      <w:r>
        <w:rPr>
          <w:rFonts w:hint="eastAsia"/>
          <w:color w:val="auto"/>
          <w:spacing w:val="21"/>
        </w:rPr>
        <w:t>并将记入学生档案，在入党、学</w:t>
      </w:r>
      <w:r>
        <w:rPr>
          <w:rFonts w:hint="eastAsia"/>
          <w:color w:val="auto"/>
          <w:spacing w:val="21"/>
          <w:lang w:val="en-US" w:eastAsia="zh-CN"/>
        </w:rPr>
        <w:t>校</w:t>
      </w:r>
      <w:r>
        <w:rPr>
          <w:rFonts w:hint="eastAsia"/>
          <w:color w:val="auto"/>
          <w:spacing w:val="21"/>
        </w:rPr>
        <w:t>评选“优秀大学生”“优秀学生干部”、</w:t>
      </w:r>
      <w:r>
        <w:rPr>
          <w:rFonts w:hint="eastAsia"/>
          <w:color w:val="auto"/>
          <w:spacing w:val="21"/>
          <w:lang w:val="en-US" w:eastAsia="zh-CN"/>
        </w:rPr>
        <w:t>校</w:t>
      </w:r>
      <w:r>
        <w:rPr>
          <w:rFonts w:hint="eastAsia"/>
          <w:color w:val="auto"/>
          <w:spacing w:val="21"/>
        </w:rPr>
        <w:t>团委各类表彰、推优及选举工作中，享有优先推荐、优先当选的资格；</w:t>
      </w:r>
    </w:p>
    <w:p w14:paraId="2E45F61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（三）每名学员参加培训及表现情况将及时通报学员所在</w:t>
      </w:r>
      <w:r>
        <w:rPr>
          <w:rFonts w:hint="eastAsia"/>
          <w:spacing w:val="21"/>
          <w:lang w:val="en-US" w:eastAsia="zh-CN"/>
        </w:rPr>
        <w:t>系</w:t>
      </w:r>
      <w:r>
        <w:rPr>
          <w:spacing w:val="21"/>
        </w:rPr>
        <w:t>，培训考核成绩将与评奖评优直接挂钩，被取消学员资格以及未获得结业的同学将无资格参加本学年优秀团干、优秀团员、优秀学生会干部等荣誉的评比。</w:t>
      </w:r>
    </w:p>
    <w:p w14:paraId="40A96B88">
      <w:pPr>
        <w:pStyle w:val="2"/>
        <w:spacing w:before="242" w:line="226" w:lineRule="auto"/>
        <w:ind w:left="682"/>
        <w:rPr>
          <w:b/>
          <w:bCs/>
        </w:rPr>
      </w:pPr>
      <w:r>
        <w:rPr>
          <w:b/>
          <w:bCs/>
          <w:spacing w:val="5"/>
        </w:rPr>
        <w:t>七、保障措施</w:t>
      </w:r>
    </w:p>
    <w:p w14:paraId="51A1E8F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（一）经费保障。</w:t>
      </w:r>
      <w:r>
        <w:rPr>
          <w:rFonts w:hint="eastAsia"/>
          <w:spacing w:val="21"/>
          <w:lang w:val="en-US" w:eastAsia="zh-CN"/>
        </w:rPr>
        <w:t>校</w:t>
      </w:r>
      <w:r>
        <w:rPr>
          <w:spacing w:val="21"/>
        </w:rPr>
        <w:t>团委为“青马工程”的实施提供必要的经费支持。</w:t>
      </w:r>
    </w:p>
    <w:p w14:paraId="1BEDA1E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（二）师资建设。聘请专家学者、党政领导、社会知名人士、机关青年党员等，坚持校内为主、校外兼顾、内外结合、优势互补的原则，建立规模适中的开放式的“青马工程”导师团，为培养工作提供师资保障。</w:t>
      </w:r>
    </w:p>
    <w:p w14:paraId="5382BA3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（三）阵地建设。创建南京财经大学“青年共产主义学校暨青年菁英人才学校”，针对优秀的学生骨干进行长期性、系统化的培养；依托各级团校网络载体等，努力构建覆盖广泛、影响强大的教育阵地。</w:t>
      </w:r>
    </w:p>
    <w:p w14:paraId="0E985D6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rFonts w:hint="eastAsia" w:eastAsia="仿宋"/>
          <w:spacing w:val="21"/>
          <w:lang w:val="en-US" w:eastAsia="zh-CN"/>
        </w:rPr>
      </w:pPr>
      <w:r>
        <w:rPr>
          <w:spacing w:val="21"/>
        </w:rPr>
        <w:t>（四）加强组织领导。</w:t>
      </w:r>
      <w:r>
        <w:rPr>
          <w:rFonts w:hint="eastAsia"/>
          <w:spacing w:val="21"/>
          <w:lang w:val="en-US" w:eastAsia="zh-CN"/>
        </w:rPr>
        <w:t>校</w:t>
      </w:r>
      <w:r>
        <w:rPr>
          <w:spacing w:val="21"/>
        </w:rPr>
        <w:t>团委、</w:t>
      </w:r>
      <w:r>
        <w:rPr>
          <w:rFonts w:hint="eastAsia"/>
          <w:spacing w:val="21"/>
          <w:lang w:val="en-US" w:eastAsia="zh-CN"/>
        </w:rPr>
        <w:t>院</w:t>
      </w:r>
      <w:r>
        <w:rPr>
          <w:spacing w:val="21"/>
        </w:rPr>
        <w:t>团总支要高度重视大学生骨干培养工作，要将大学生骨干培养工作作为组织提升的重要任务纳入本中心、本组织年度重点工作。要加强分阶段推进和分类别指导，根据自身实际和阶段特点，在培训内容框架基础上，做好自定课程的设计，确保培训各项任务落到实处。各</w:t>
      </w:r>
      <w:r>
        <w:rPr>
          <w:rFonts w:hint="eastAsia"/>
          <w:spacing w:val="21"/>
          <w:lang w:val="en-US" w:eastAsia="zh-CN"/>
        </w:rPr>
        <w:t>系</w:t>
      </w:r>
      <w:r>
        <w:rPr>
          <w:spacing w:val="21"/>
        </w:rPr>
        <w:t>团总支要认真做好相关培训班学员的推荐工作，认真做好跟踪教育，同时要结合实际情况制定本单位大学生骨干培养规划，持续做好大学生骨干培养工作。</w:t>
      </w:r>
      <w:r>
        <w:rPr>
          <w:rFonts w:hint="eastAsia"/>
          <w:spacing w:val="21"/>
          <w:lang w:val="en-US" w:eastAsia="zh-CN"/>
        </w:rPr>
        <w:t xml:space="preserve"> </w:t>
      </w:r>
    </w:p>
    <w:p w14:paraId="5726E338">
      <w:pPr>
        <w:pStyle w:val="2"/>
        <w:spacing w:before="181" w:line="227" w:lineRule="auto"/>
        <w:ind w:left="643"/>
        <w:outlineLvl w:val="0"/>
      </w:pPr>
      <w:r>
        <w:rPr>
          <w:spacing w:val="-13"/>
          <w14:textOutline w14:w="5791" w14:cap="sq" w14:cmpd="sng">
            <w14:solidFill>
              <w14:srgbClr w14:val="000000"/>
            </w14:solidFill>
            <w14:prstDash w14:val="solid"/>
            <w14:bevel/>
          </w14:textOutline>
        </w:rPr>
        <w:t>八、激励机制</w:t>
      </w:r>
    </w:p>
    <w:p w14:paraId="6F86819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（一）制度激励。在推优入党、奖助学金评定、推荐就业等方面，给予优秀大学生骨干、优秀青马学员更多的政策倾斜。将“青马工程”与第二课堂活动考核相结合，遵循南京财经大学</w:t>
      </w:r>
      <w:r>
        <w:rPr>
          <w:rFonts w:hint="eastAsia"/>
          <w:spacing w:val="21"/>
          <w:lang w:val="en-US" w:eastAsia="zh-CN"/>
        </w:rPr>
        <w:t>红山学院</w:t>
      </w:r>
      <w:r>
        <w:rPr>
          <w:spacing w:val="21"/>
        </w:rPr>
        <w:t>相关制度规定，根据实际情况，酌情考虑相关模块活动学分认定。</w:t>
      </w:r>
    </w:p>
    <w:p w14:paraId="212535A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（二）积极举荐。将“青马工程”纳入</w:t>
      </w:r>
      <w:r>
        <w:rPr>
          <w:rFonts w:hint="eastAsia"/>
          <w:spacing w:val="21"/>
          <w:lang w:val="en-US" w:eastAsia="zh-CN"/>
        </w:rPr>
        <w:t>学校</w:t>
      </w:r>
      <w:r>
        <w:rPr>
          <w:spacing w:val="21"/>
        </w:rPr>
        <w:t>人才培养划，建立重点培养对象信息库，切实加强跟踪培养，为他们的成才发展提供切实帮助。通过一定的渠道，推荐优秀大学生骨干进入选生、“大学生村官”、西部、苏北志愿者和企事业单位管理者队伍。</w:t>
      </w:r>
    </w:p>
    <w:p w14:paraId="5023E6A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（三）大力宣传。加大对优秀大学生骨干典型人物和先进事迹的宣传力度，充分发挥其榜样示范作用，带动广大青年学生自觉强化理论武装，奋发学习，不断进步。</w:t>
      </w:r>
    </w:p>
    <w:p w14:paraId="06F744B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本方案依据南财团字〔202</w:t>
      </w:r>
      <w:r>
        <w:rPr>
          <w:rFonts w:hint="eastAsia"/>
          <w:spacing w:val="21"/>
          <w:lang w:val="en-US" w:eastAsia="zh-CN"/>
        </w:rPr>
        <w:t>5</w:t>
      </w:r>
      <w:r>
        <w:rPr>
          <w:spacing w:val="21"/>
        </w:rPr>
        <w:t>〕</w:t>
      </w:r>
      <w:r>
        <w:rPr>
          <w:rFonts w:hint="eastAsia"/>
          <w:spacing w:val="21"/>
          <w:lang w:val="en-US" w:eastAsia="zh-CN"/>
        </w:rPr>
        <w:t>1</w:t>
      </w:r>
      <w:r>
        <w:rPr>
          <w:spacing w:val="21"/>
        </w:rPr>
        <w:t>号进行修订。</w:t>
      </w:r>
    </w:p>
    <w:p w14:paraId="259A50A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rFonts w:hint="eastAsia"/>
          <w:spacing w:val="21"/>
        </w:rPr>
      </w:pPr>
    </w:p>
    <w:p w14:paraId="4105D03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rFonts w:hint="eastAsia"/>
          <w:spacing w:val="21"/>
        </w:rPr>
      </w:pPr>
    </w:p>
    <w:sectPr>
      <w:pgSz w:w="11906" w:h="16839"/>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TU2MjhkNGZjYTA4M2JkNjdjMjQ0ZjUyMjUwNmNlYzAifQ=="/>
  </w:docVars>
  <w:rsids>
    <w:rsidRoot w:val="00000000"/>
    <w:rsid w:val="08D77B91"/>
    <w:rsid w:val="399C1311"/>
    <w:rsid w:val="427623F5"/>
    <w:rsid w:val="491422F5"/>
    <w:rsid w:val="5892130F"/>
    <w:rsid w:val="591C50DC"/>
    <w:rsid w:val="6CD56DE2"/>
    <w:rsid w:val="723F6B0D"/>
    <w:rsid w:val="733147A8"/>
    <w:rsid w:val="7E2027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2431</Words>
  <Characters>2449</Characters>
  <TotalTime>29</TotalTime>
  <ScaleCrop>false</ScaleCrop>
  <LinksUpToDate>false</LinksUpToDate>
  <CharactersWithSpaces>2450</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2023-03-22T13:44:00Z</dcterms:created>
  <dc:creator>王 军团</dc:creator>
  <cp:lastModifiedBy>兔子</cp:lastModifiedBy>
  <dcterms:modified xsi:type="dcterms:W3CDTF">2025-03-10T06:05:32Z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2024-03-14T10:52:16Z</vt:filetime>
  </property>
  <property fmtid="{D5CDD505-2E9C-101B-9397-08002B2CF9AE}" pid="4" name="KSOProductBuildVer">
    <vt:lpwstr>2052-12.1.0.20305</vt:lpwstr>
  </property>
  <property fmtid="{D5CDD505-2E9C-101B-9397-08002B2CF9AE}" pid="5" name="ICV">
    <vt:lpwstr>2FDD68B7FE4247BD8F8BCC68BF07397A_13</vt:lpwstr>
  </property>
  <property fmtid="{D5CDD505-2E9C-101B-9397-08002B2CF9AE}" pid="6" name="KSOTemplateDocerSaveRecord">
    <vt:lpwstr>eyJoZGlkIjoiZDAxMmIwYmNjMGY3MDA5NTkyZTFkMTM1ZTA2NzViMjUiLCJ1c2VySWQiOiI0MTM5OTk4MDEifQ==</vt:lpwstr>
  </property>
</Properties>
</file>